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B969" w14:textId="77777777" w:rsidR="003B627E" w:rsidRDefault="003B627E" w:rsidP="003B627E">
      <w:pPr>
        <w:rPr>
          <w:color w:val="000000"/>
          <w:szCs w:val="24"/>
        </w:rPr>
      </w:pPr>
      <w:r w:rsidRPr="00AC07DC">
        <w:rPr>
          <w:color w:val="000000"/>
          <w:szCs w:val="24"/>
        </w:rPr>
        <w:t xml:space="preserve">On March 5, 2021, the United Kingdom’s Financial Conduct Authority announced that LIBOR will cease to be provided or will no longer be representative after June 30, </w:t>
      </w:r>
      <w:proofErr w:type="gramStart"/>
      <w:r w:rsidRPr="00AC07DC">
        <w:rPr>
          <w:color w:val="000000"/>
          <w:szCs w:val="24"/>
        </w:rPr>
        <w:t>2023</w:t>
      </w:r>
      <w:proofErr w:type="gramEnd"/>
      <w:r w:rsidRPr="00AC07DC">
        <w:rPr>
          <w:color w:val="000000"/>
          <w:szCs w:val="24"/>
        </w:rPr>
        <w:t xml:space="preserve"> with respect to </w:t>
      </w:r>
      <w:r>
        <w:rPr>
          <w:color w:val="000000"/>
          <w:szCs w:val="24"/>
        </w:rPr>
        <w:t>various tenors of LIBOR</w:t>
      </w:r>
      <w:r w:rsidRPr="00AC07DC">
        <w:rPr>
          <w:color w:val="000000"/>
          <w:szCs w:val="24"/>
        </w:rPr>
        <w:t>.  Reference is made to</w:t>
      </w:r>
      <w:r>
        <w:rPr>
          <w:color w:val="000000"/>
          <w:szCs w:val="24"/>
        </w:rPr>
        <w:t xml:space="preserve"> (a)</w:t>
      </w:r>
      <w:r w:rsidRPr="00AC07DC">
        <w:rPr>
          <w:color w:val="000000"/>
          <w:szCs w:val="24"/>
        </w:rPr>
        <w:t xml:space="preserve"> the Adjustable Interest Rate (LIBOR) Act (the “Federal LIBOR Act”) signed into law on March 15, </w:t>
      </w:r>
      <w:proofErr w:type="gramStart"/>
      <w:r w:rsidRPr="00AC07DC">
        <w:rPr>
          <w:color w:val="000000"/>
          <w:szCs w:val="24"/>
        </w:rPr>
        <w:t>2022</w:t>
      </w:r>
      <w:proofErr w:type="gramEnd"/>
      <w:r w:rsidRPr="00AC07DC">
        <w:rPr>
          <w:color w:val="000000"/>
          <w:szCs w:val="24"/>
        </w:rPr>
        <w:t xml:space="preserve"> and</w:t>
      </w:r>
      <w:r>
        <w:rPr>
          <w:color w:val="000000"/>
          <w:szCs w:val="24"/>
        </w:rPr>
        <w:t xml:space="preserve"> (b)</w:t>
      </w:r>
      <w:r w:rsidRPr="00AC07DC">
        <w:rPr>
          <w:color w:val="000000"/>
          <w:szCs w:val="24"/>
        </w:rPr>
        <w:t xml:space="preserve"> the Regulation Implementing the </w:t>
      </w:r>
      <w:r>
        <w:rPr>
          <w:color w:val="000000"/>
          <w:szCs w:val="24"/>
        </w:rPr>
        <w:t>Adjustable</w:t>
      </w:r>
      <w:r w:rsidRPr="00AC07DC">
        <w:rPr>
          <w:color w:val="000000"/>
          <w:szCs w:val="24"/>
        </w:rPr>
        <w:t xml:space="preserve"> Interest Rate (LIBOR) Act adopted by the Board of Governors of the Federal Reserve System (the “Board”)</w:t>
      </w:r>
      <w:r>
        <w:rPr>
          <w:color w:val="000000"/>
          <w:szCs w:val="24"/>
        </w:rPr>
        <w:t>,</w:t>
      </w:r>
      <w:r w:rsidRPr="00AC07DC">
        <w:rPr>
          <w:color w:val="000000"/>
          <w:szCs w:val="24"/>
        </w:rPr>
        <w:t xml:space="preserve"> </w:t>
      </w:r>
      <w:r>
        <w:rPr>
          <w:color w:val="000000"/>
          <w:szCs w:val="24"/>
        </w:rPr>
        <w:t>effective February 27, 2023</w:t>
      </w:r>
      <w:r w:rsidRPr="00AC07DC">
        <w:rPr>
          <w:color w:val="000000"/>
          <w:szCs w:val="24"/>
        </w:rPr>
        <w:t xml:space="preserve"> (12 CFR Part 253, Regulation ZZ) (the “Regulation”).  Pursuant to the foregoing, on and after the LIBOR replacement date</w:t>
      </w:r>
      <w:r>
        <w:rPr>
          <w:color w:val="000000"/>
          <w:szCs w:val="24"/>
        </w:rPr>
        <w:t xml:space="preserve"> as defined in Section 253.2 of the Regulation (generally the first London banking day after June 30, 2023) (the “LIBOR Replacement Date”)</w:t>
      </w:r>
      <w:r w:rsidRPr="00AC07DC">
        <w:rPr>
          <w:color w:val="000000"/>
          <w:szCs w:val="24"/>
        </w:rPr>
        <w:t xml:space="preserve">, the applicable Board-selected benchmark replacement </w:t>
      </w:r>
      <w:r>
        <w:rPr>
          <w:color w:val="000000"/>
          <w:szCs w:val="24"/>
        </w:rPr>
        <w:t xml:space="preserve">which is </w:t>
      </w:r>
      <w:r w:rsidRPr="00AC07DC">
        <w:rPr>
          <w:color w:val="000000"/>
          <w:szCs w:val="24"/>
        </w:rPr>
        <w:t>based on</w:t>
      </w:r>
      <w:r>
        <w:rPr>
          <w:color w:val="000000"/>
          <w:szCs w:val="24"/>
        </w:rPr>
        <w:t xml:space="preserve"> </w:t>
      </w:r>
      <w:r w:rsidRPr="00E077FF">
        <w:rPr>
          <w:color w:val="000000"/>
        </w:rPr>
        <w:t>the Secured Overnight Financing Rate published by the Federal Reserve Bank of New York or any successor administrator</w:t>
      </w:r>
      <w:r>
        <w:rPr>
          <w:color w:val="000000"/>
        </w:rPr>
        <w:t xml:space="preserve"> (“SOFR”)</w:t>
      </w:r>
      <w:r w:rsidRPr="00AC07DC">
        <w:rPr>
          <w:color w:val="000000"/>
          <w:szCs w:val="24"/>
        </w:rPr>
        <w:t xml:space="preserve"> plus a tenor spread adjustment</w:t>
      </w:r>
      <w:r>
        <w:rPr>
          <w:color w:val="000000"/>
          <w:szCs w:val="24"/>
        </w:rPr>
        <w:t xml:space="preserve"> (the “Board-Selected Benchmark Replacement”)</w:t>
      </w:r>
      <w:r w:rsidRPr="00AC07DC">
        <w:rPr>
          <w:color w:val="000000"/>
          <w:szCs w:val="24"/>
        </w:rPr>
        <w:t xml:space="preserve"> shall</w:t>
      </w:r>
      <w:r>
        <w:rPr>
          <w:color w:val="000000"/>
          <w:szCs w:val="24"/>
        </w:rPr>
        <w:t>, by operation of law,</w:t>
      </w:r>
      <w:r w:rsidRPr="00AC07DC">
        <w:rPr>
          <w:color w:val="000000"/>
          <w:szCs w:val="24"/>
        </w:rPr>
        <w:t xml:space="preserve"> be the benchmark replacement for the LIBOR contracts identified in Section 253.3(a) of the Regulation (except to the extent that an exception in paragraph (b) of Section 253.3(a) applies).</w:t>
      </w:r>
      <w:r>
        <w:rPr>
          <w:color w:val="000000"/>
          <w:szCs w:val="24"/>
        </w:rPr>
        <w:t xml:space="preserve">  </w:t>
      </w:r>
      <w:bookmarkStart w:id="0" w:name="_Hlk131529256"/>
      <w:r w:rsidRPr="00B5261B">
        <w:rPr>
          <w:color w:val="000000"/>
          <w:szCs w:val="24"/>
        </w:rPr>
        <w:t>The tenor spread adjustments identified in the LIBOR Act and by the Board are set forth in Section 253.4(b) in the Regulation.</w:t>
      </w:r>
      <w:bookmarkEnd w:id="0"/>
      <w:r>
        <w:rPr>
          <w:color w:val="000000"/>
          <w:szCs w:val="24"/>
        </w:rPr>
        <w:t xml:space="preserve">  The Federal LIBOR Act also creates a safe harbor protecting from liability any person for the selection, use or implementation of the Board-Selected Benchmark Replacement.</w:t>
      </w:r>
    </w:p>
    <w:p w14:paraId="7634BD6B" w14:textId="15788B32" w:rsidR="003B627E" w:rsidRDefault="003B627E" w:rsidP="003B627E">
      <w:pPr>
        <w:rPr>
          <w:color w:val="000000"/>
          <w:szCs w:val="24"/>
        </w:rPr>
      </w:pPr>
      <w:r>
        <w:rPr>
          <w:color w:val="000000"/>
          <w:szCs w:val="24"/>
        </w:rPr>
        <w:t xml:space="preserve">As a result of the foregoing, either by operation of law pursuant to the Federal LIBOR Act and the Regulation or by action of the “determining party” (as defined in the Federal LIBOR Act and the Regulation), </w:t>
      </w:r>
      <w:r>
        <w:rPr>
          <w:rFonts w:ascii="CIDFont+F2" w:hAnsi="CIDFont+F2" w:cs="CIDFont+F2"/>
        </w:rPr>
        <w:t>effective on the first London banking day after June 30, 2023,</w:t>
      </w:r>
      <w:r>
        <w:rPr>
          <w:color w:val="000000"/>
          <w:szCs w:val="24"/>
        </w:rPr>
        <w:t xml:space="preserve"> the benchmark on </w:t>
      </w:r>
      <w:proofErr w:type="spellStart"/>
      <w:r>
        <w:rPr>
          <w:color w:val="000000"/>
          <w:szCs w:val="24"/>
        </w:rPr>
        <w:t>Northstar’s</w:t>
      </w:r>
      <w:proofErr w:type="spellEnd"/>
      <w:r>
        <w:rPr>
          <w:color w:val="000000"/>
          <w:szCs w:val="24"/>
        </w:rPr>
        <w:t xml:space="preserve"> outstanding </w:t>
      </w:r>
      <w:r>
        <w:rPr>
          <w:color w:val="000000"/>
          <w:szCs w:val="24"/>
        </w:rPr>
        <w:t>n</w:t>
      </w:r>
      <w:r>
        <w:rPr>
          <w:color w:val="000000"/>
          <w:szCs w:val="24"/>
        </w:rPr>
        <w:t xml:space="preserve">otes </w:t>
      </w:r>
      <w:r>
        <w:rPr>
          <w:color w:val="000000"/>
          <w:szCs w:val="24"/>
        </w:rPr>
        <w:t xml:space="preserve">(collectively, “the Notes”) </w:t>
      </w:r>
      <w:r>
        <w:rPr>
          <w:color w:val="000000"/>
          <w:szCs w:val="24"/>
        </w:rPr>
        <w:t xml:space="preserve">will constitute the Board-Selected Benchmark Replacement for LIBOR.  In addition, certain technical, administrative or operational changes or modifications (defined in the Federal LIBOR Act and the Regulations as “Benchmark Replacement Confirming Changes”) will be implemented and become an integral part of such Notes and the Indenture under which they were issued.    </w:t>
      </w:r>
    </w:p>
    <w:p w14:paraId="11B7090E" w14:textId="77777777" w:rsidR="00E544B4" w:rsidRDefault="00E544B4"/>
    <w:sectPr w:rsidR="00E544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4990" w14:textId="77777777" w:rsidR="003B627E" w:rsidRDefault="003B627E" w:rsidP="003B627E">
      <w:pPr>
        <w:spacing w:after="0" w:line="240" w:lineRule="auto"/>
      </w:pPr>
      <w:r>
        <w:separator/>
      </w:r>
    </w:p>
  </w:endnote>
  <w:endnote w:type="continuationSeparator" w:id="0">
    <w:p w14:paraId="4F2A2B28" w14:textId="77777777" w:rsidR="003B627E" w:rsidRDefault="003B627E" w:rsidP="003B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0244" w14:textId="77777777" w:rsidR="003B627E" w:rsidRDefault="003B627E" w:rsidP="003B627E">
      <w:pPr>
        <w:spacing w:after="0" w:line="240" w:lineRule="auto"/>
      </w:pPr>
      <w:r>
        <w:separator/>
      </w:r>
    </w:p>
  </w:footnote>
  <w:footnote w:type="continuationSeparator" w:id="0">
    <w:p w14:paraId="354431C6" w14:textId="77777777" w:rsidR="003B627E" w:rsidRDefault="003B627E" w:rsidP="003B6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7E"/>
    <w:rsid w:val="003B627E"/>
    <w:rsid w:val="00E5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20F3"/>
  <w15:chartTrackingRefBased/>
  <w15:docId w15:val="{F7185201-8DED-46AB-B5E2-2926D66B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Kate</dc:creator>
  <cp:keywords/>
  <dc:description/>
  <cp:lastModifiedBy>Seifert, Kate</cp:lastModifiedBy>
  <cp:revision>1</cp:revision>
  <dcterms:created xsi:type="dcterms:W3CDTF">2023-05-01T14:31:00Z</dcterms:created>
  <dcterms:modified xsi:type="dcterms:W3CDTF">2023-05-01T14:32:00Z</dcterms:modified>
</cp:coreProperties>
</file>